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9A" w:rsidRDefault="00125716">
      <w:pPr>
        <w:rPr>
          <w:b/>
          <w:sz w:val="28"/>
        </w:rPr>
      </w:pPr>
      <w:r>
        <w:rPr>
          <w:b/>
          <w:noProof/>
          <w:sz w:val="28"/>
        </w:rPr>
        <w:drawing>
          <wp:anchor distT="0" distB="0" distL="114300" distR="114300" simplePos="0" relativeHeight="251659264" behindDoc="0" locked="0" layoutInCell="1" allowOverlap="1" wp14:anchorId="72A6F80F" wp14:editId="0A8739C2">
            <wp:simplePos x="0" y="0"/>
            <wp:positionH relativeFrom="column">
              <wp:posOffset>4442460</wp:posOffset>
            </wp:positionH>
            <wp:positionV relativeFrom="paragraph">
              <wp:posOffset>-395605</wp:posOffset>
            </wp:positionV>
            <wp:extent cx="1914525" cy="741680"/>
            <wp:effectExtent l="0" t="0" r="9525" b="1270"/>
            <wp:wrapSquare wrapText="bothSides"/>
            <wp:docPr id="1" name="Picture 1" descr="G:\CTRHS\Inst\RWJF PCT-LEAP\Phase I\Project Activities\Learning Community\October Meeting\Program book\PCT_Lea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TRHS\Inst\RWJF PCT-LEAP\Phase I\Project Activities\Learning Community\October Meeting\Program book\PCT_Leap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43">
        <w:rPr>
          <w:b/>
          <w:sz w:val="28"/>
        </w:rPr>
        <w:t xml:space="preserve">Share the Care: Assessment of </w:t>
      </w:r>
    </w:p>
    <w:p w:rsidR="00F02943" w:rsidRDefault="006C6BC6">
      <w:pPr>
        <w:rPr>
          <w:b/>
          <w:sz w:val="28"/>
        </w:rPr>
      </w:pPr>
      <w:r>
        <w:rPr>
          <w:b/>
          <w:sz w:val="28"/>
        </w:rPr>
        <w:t>Behavioral Health Specialist responsibilities</w:t>
      </w:r>
    </w:p>
    <w:p w:rsidR="00F02943" w:rsidRPr="001B6963" w:rsidRDefault="00F02943"/>
    <w:p w:rsidR="00BE686D" w:rsidRDefault="006D3D7D">
      <w:pPr>
        <w:rPr>
          <w:i/>
        </w:rPr>
      </w:pPr>
      <w:r w:rsidRPr="001B6963">
        <w:rPr>
          <w:i/>
        </w:rPr>
        <w:t xml:space="preserve">This is an example of a planning tool, to assess </w:t>
      </w:r>
      <w:r w:rsidR="00E468A5">
        <w:rPr>
          <w:i/>
        </w:rPr>
        <w:t xml:space="preserve">the </w:t>
      </w:r>
      <w:r w:rsidR="00F363FD">
        <w:rPr>
          <w:i/>
        </w:rPr>
        <w:t>extent to which your practice coordinates with your behavioral health specialist in order to deliver high quality patient care. A behavioral health specialist can be a clinical social worker, masters-level therapist,</w:t>
      </w:r>
      <w:r w:rsidR="00331465">
        <w:rPr>
          <w:i/>
        </w:rPr>
        <w:t xml:space="preserve"> licensed professional counselor,</w:t>
      </w:r>
      <w:r w:rsidR="00F363FD">
        <w:rPr>
          <w:i/>
        </w:rPr>
        <w:t xml:space="preserve"> psychologist, psychiatric Nurse Practitioner, or a Psychiatrist.</w:t>
      </w:r>
    </w:p>
    <w:p w:rsidR="006C6BC6" w:rsidRPr="006C6BC6" w:rsidRDefault="006C6BC6">
      <w:pPr>
        <w:rPr>
          <w:i/>
        </w:rPr>
      </w:pPr>
    </w:p>
    <w:tbl>
      <w:tblPr>
        <w:tblStyle w:val="TableGrid"/>
        <w:tblW w:w="10458" w:type="dxa"/>
        <w:tblLayout w:type="fixed"/>
        <w:tblLook w:val="04A0" w:firstRow="1" w:lastRow="0" w:firstColumn="1" w:lastColumn="0" w:noHBand="0" w:noVBand="1"/>
      </w:tblPr>
      <w:tblGrid>
        <w:gridCol w:w="6228"/>
        <w:gridCol w:w="1620"/>
        <w:gridCol w:w="1350"/>
        <w:gridCol w:w="1260"/>
      </w:tblGrid>
      <w:tr w:rsidR="00F363FD" w:rsidRPr="00C92609" w:rsidTr="00F363FD">
        <w:tc>
          <w:tcPr>
            <w:tcW w:w="6228" w:type="dxa"/>
            <w:tcBorders>
              <w:bottom w:val="single" w:sz="4" w:space="0" w:color="auto"/>
            </w:tcBorders>
          </w:tcPr>
          <w:p w:rsidR="00F363FD" w:rsidRPr="00C92609" w:rsidRDefault="00F363FD" w:rsidP="00871F46">
            <w:pPr>
              <w:rPr>
                <w:rFonts w:ascii="Calibri" w:hAnsi="Calibri"/>
                <w:b/>
              </w:rPr>
            </w:pPr>
          </w:p>
        </w:tc>
        <w:tc>
          <w:tcPr>
            <w:tcW w:w="1620" w:type="dxa"/>
            <w:tcBorders>
              <w:bottom w:val="single" w:sz="4" w:space="0" w:color="auto"/>
            </w:tcBorders>
          </w:tcPr>
          <w:p w:rsidR="00F363FD" w:rsidRPr="00C92609" w:rsidRDefault="00F363FD" w:rsidP="00871F46">
            <w:pPr>
              <w:rPr>
                <w:rFonts w:ascii="Calibri" w:hAnsi="Calibri"/>
                <w:b/>
              </w:rPr>
            </w:pPr>
            <w:r>
              <w:rPr>
                <w:rFonts w:ascii="Calibri" w:hAnsi="Calibri"/>
                <w:b/>
              </w:rPr>
              <w:t>Consistently</w:t>
            </w:r>
          </w:p>
        </w:tc>
        <w:tc>
          <w:tcPr>
            <w:tcW w:w="1350" w:type="dxa"/>
            <w:tcBorders>
              <w:bottom w:val="single" w:sz="4" w:space="0" w:color="auto"/>
            </w:tcBorders>
          </w:tcPr>
          <w:p w:rsidR="00F363FD" w:rsidRPr="00C92609" w:rsidRDefault="00F363FD" w:rsidP="00871F46">
            <w:pPr>
              <w:rPr>
                <w:rFonts w:ascii="Calibri" w:hAnsi="Calibri"/>
                <w:b/>
              </w:rPr>
            </w:pPr>
            <w:r>
              <w:rPr>
                <w:rFonts w:ascii="Calibri" w:hAnsi="Calibri"/>
                <w:b/>
              </w:rPr>
              <w:t>Sometimes</w:t>
            </w:r>
          </w:p>
        </w:tc>
        <w:tc>
          <w:tcPr>
            <w:tcW w:w="1260" w:type="dxa"/>
            <w:tcBorders>
              <w:bottom w:val="single" w:sz="4" w:space="0" w:color="auto"/>
            </w:tcBorders>
          </w:tcPr>
          <w:p w:rsidR="00F363FD" w:rsidRPr="00C92609" w:rsidRDefault="00F363FD" w:rsidP="00871F46">
            <w:pPr>
              <w:rPr>
                <w:rFonts w:ascii="Calibri" w:hAnsi="Calibri"/>
                <w:b/>
              </w:rPr>
            </w:pPr>
            <w:r>
              <w:rPr>
                <w:rFonts w:ascii="Calibri" w:hAnsi="Calibri"/>
                <w:b/>
              </w:rPr>
              <w:t>Never</w:t>
            </w:r>
          </w:p>
        </w:tc>
      </w:tr>
      <w:tr w:rsidR="00F363FD" w:rsidRPr="00C92609" w:rsidTr="00F363FD">
        <w:tc>
          <w:tcPr>
            <w:tcW w:w="6228" w:type="dxa"/>
          </w:tcPr>
          <w:p w:rsidR="00F363FD" w:rsidRPr="00C92609" w:rsidRDefault="00F363FD" w:rsidP="00F363FD">
            <w:pPr>
              <w:rPr>
                <w:rFonts w:ascii="Calibri" w:hAnsi="Calibri"/>
              </w:rPr>
            </w:pPr>
            <w:r w:rsidRPr="00F363FD">
              <w:rPr>
                <w:rFonts w:ascii="Calibri" w:hAnsi="Calibri"/>
              </w:rPr>
              <w:t xml:space="preserve">Available for warm hand-offs, </w:t>
            </w:r>
            <w:r>
              <w:rPr>
                <w:rFonts w:ascii="Calibri" w:hAnsi="Calibri"/>
              </w:rPr>
              <w:t>meaning that the BH specialist has capacity to visit with patients with concerning symptoms, at the point that the need is identified by the primary care team. (NOT just scheduled for a future visit  with the BH specialist, at the time the need is identified)</w:t>
            </w:r>
          </w:p>
        </w:tc>
        <w:tc>
          <w:tcPr>
            <w:tcW w:w="1620" w:type="dxa"/>
            <w:shd w:val="clear" w:color="auto" w:fill="auto"/>
          </w:tcPr>
          <w:p w:rsidR="00F363FD" w:rsidRPr="00C92609" w:rsidRDefault="00F363FD" w:rsidP="00871F46">
            <w:pPr>
              <w:rPr>
                <w:rFonts w:ascii="Calibri" w:hAnsi="Calibri"/>
              </w:rPr>
            </w:pPr>
          </w:p>
        </w:tc>
        <w:tc>
          <w:tcPr>
            <w:tcW w:w="1350" w:type="dxa"/>
            <w:shd w:val="clear" w:color="auto" w:fill="auto"/>
          </w:tcPr>
          <w:p w:rsidR="00F363FD" w:rsidRPr="00C92609" w:rsidRDefault="00F363FD" w:rsidP="00871F46">
            <w:pPr>
              <w:rPr>
                <w:rFonts w:ascii="Calibri" w:hAnsi="Calibri"/>
              </w:rPr>
            </w:pPr>
          </w:p>
        </w:tc>
        <w:tc>
          <w:tcPr>
            <w:tcW w:w="1260" w:type="dxa"/>
            <w:shd w:val="clear" w:color="auto" w:fill="auto"/>
          </w:tcPr>
          <w:p w:rsidR="00F363FD" w:rsidRPr="00C92609" w:rsidRDefault="00F363FD" w:rsidP="00871F46">
            <w:pPr>
              <w:rPr>
                <w:rFonts w:ascii="Calibri" w:hAnsi="Calibri"/>
              </w:rPr>
            </w:pPr>
          </w:p>
        </w:tc>
      </w:tr>
      <w:tr w:rsidR="00F363FD" w:rsidRPr="00C92609" w:rsidTr="00F363FD">
        <w:tc>
          <w:tcPr>
            <w:tcW w:w="6228" w:type="dxa"/>
          </w:tcPr>
          <w:p w:rsidR="00F363FD" w:rsidRPr="00C92609" w:rsidRDefault="00F363FD" w:rsidP="00F363FD">
            <w:pPr>
              <w:rPr>
                <w:rFonts w:ascii="Calibri" w:hAnsi="Calibri"/>
              </w:rPr>
            </w:pPr>
            <w:r>
              <w:rPr>
                <w:rFonts w:ascii="Calibri" w:hAnsi="Calibri"/>
              </w:rPr>
              <w:t>Lead group visits to help patients manage chronic pain, e.g., alternatives to opioid medication through physical activity, healthy living, or mindfulness-based stress reduction</w:t>
            </w:r>
          </w:p>
        </w:tc>
        <w:tc>
          <w:tcPr>
            <w:tcW w:w="1620" w:type="dxa"/>
            <w:shd w:val="clear" w:color="auto" w:fill="auto"/>
          </w:tcPr>
          <w:p w:rsidR="00F363FD" w:rsidRPr="00C92609" w:rsidRDefault="00F363FD" w:rsidP="00871F46">
            <w:pPr>
              <w:rPr>
                <w:rFonts w:ascii="Calibri" w:hAnsi="Calibri"/>
              </w:rPr>
            </w:pPr>
          </w:p>
        </w:tc>
        <w:tc>
          <w:tcPr>
            <w:tcW w:w="1350" w:type="dxa"/>
            <w:shd w:val="clear" w:color="auto" w:fill="auto"/>
          </w:tcPr>
          <w:p w:rsidR="00F363FD" w:rsidRPr="00C92609" w:rsidRDefault="00F363FD" w:rsidP="00871F46">
            <w:pPr>
              <w:rPr>
                <w:rFonts w:ascii="Calibri" w:hAnsi="Calibri"/>
              </w:rPr>
            </w:pPr>
          </w:p>
        </w:tc>
        <w:tc>
          <w:tcPr>
            <w:tcW w:w="1260" w:type="dxa"/>
            <w:shd w:val="clear" w:color="auto" w:fill="auto"/>
          </w:tcPr>
          <w:p w:rsidR="00F363FD" w:rsidRPr="00C92609" w:rsidRDefault="00F363FD" w:rsidP="00871F46">
            <w:pPr>
              <w:rPr>
                <w:rFonts w:ascii="Calibri" w:hAnsi="Calibri"/>
              </w:rPr>
            </w:pPr>
          </w:p>
        </w:tc>
      </w:tr>
      <w:tr w:rsidR="00F363FD" w:rsidRPr="00C92609" w:rsidTr="00F363FD">
        <w:tc>
          <w:tcPr>
            <w:tcW w:w="6228" w:type="dxa"/>
          </w:tcPr>
          <w:p w:rsidR="00F363FD" w:rsidRPr="00C92609" w:rsidRDefault="00F363FD" w:rsidP="00871F46">
            <w:pPr>
              <w:rPr>
                <w:rFonts w:ascii="Calibri" w:hAnsi="Calibri"/>
              </w:rPr>
            </w:pPr>
            <w:r w:rsidRPr="00F363FD">
              <w:rPr>
                <w:rFonts w:ascii="Calibri" w:hAnsi="Calibri"/>
              </w:rPr>
              <w:t>Participate in care team huddles to review the plan for the day, share insight about patients, and/or anticipate warm hand-offs</w:t>
            </w:r>
          </w:p>
        </w:tc>
        <w:tc>
          <w:tcPr>
            <w:tcW w:w="1620" w:type="dxa"/>
            <w:shd w:val="clear" w:color="auto" w:fill="auto"/>
          </w:tcPr>
          <w:p w:rsidR="00F363FD" w:rsidRPr="00C92609" w:rsidRDefault="00F363FD" w:rsidP="00871F46">
            <w:pPr>
              <w:rPr>
                <w:rFonts w:ascii="Calibri" w:hAnsi="Calibri"/>
              </w:rPr>
            </w:pPr>
          </w:p>
        </w:tc>
        <w:tc>
          <w:tcPr>
            <w:tcW w:w="1350" w:type="dxa"/>
            <w:shd w:val="clear" w:color="auto" w:fill="auto"/>
          </w:tcPr>
          <w:p w:rsidR="00F363FD" w:rsidRPr="00C92609" w:rsidRDefault="00F363FD" w:rsidP="00871F46">
            <w:pPr>
              <w:rPr>
                <w:rFonts w:ascii="Calibri" w:hAnsi="Calibri"/>
              </w:rPr>
            </w:pPr>
          </w:p>
        </w:tc>
        <w:tc>
          <w:tcPr>
            <w:tcW w:w="1260" w:type="dxa"/>
            <w:shd w:val="clear" w:color="auto" w:fill="auto"/>
          </w:tcPr>
          <w:p w:rsidR="00F363FD" w:rsidRPr="00C92609" w:rsidRDefault="00F363FD" w:rsidP="00871F46">
            <w:pPr>
              <w:rPr>
                <w:rFonts w:ascii="Calibri" w:hAnsi="Calibri"/>
              </w:rPr>
            </w:pPr>
          </w:p>
        </w:tc>
      </w:tr>
      <w:tr w:rsidR="00F363FD" w:rsidRPr="006D3D7D" w:rsidTr="00F363FD">
        <w:tc>
          <w:tcPr>
            <w:tcW w:w="6228" w:type="dxa"/>
          </w:tcPr>
          <w:p w:rsidR="00F363FD" w:rsidRPr="006D3D7D" w:rsidRDefault="00F363FD" w:rsidP="006D3D7D">
            <w:pPr>
              <w:rPr>
                <w:rFonts w:ascii="Calibri" w:hAnsi="Calibri" w:cstheme="majorHAnsi"/>
              </w:rPr>
            </w:pPr>
            <w:r w:rsidRPr="00F363FD">
              <w:rPr>
                <w:rFonts w:ascii="Calibri" w:hAnsi="Calibri" w:cstheme="majorHAnsi"/>
              </w:rPr>
              <w:t xml:space="preserve">Participate in regular meetings to review outcomes for patients who have not yet reached chronic </w:t>
            </w:r>
            <w:r w:rsidR="00CF13DE" w:rsidRPr="00CF13DE">
              <w:rPr>
                <w:rFonts w:ascii="Calibri" w:hAnsi="Calibri" w:cstheme="majorHAnsi"/>
              </w:rPr>
              <w:t>mental health-related clinical goals (e.g., PHQ scores for depression)</w:t>
            </w:r>
          </w:p>
        </w:tc>
        <w:tc>
          <w:tcPr>
            <w:tcW w:w="1620" w:type="dxa"/>
            <w:shd w:val="clear" w:color="auto" w:fill="auto"/>
          </w:tcPr>
          <w:p w:rsidR="00F363FD" w:rsidRPr="006D3D7D" w:rsidRDefault="00F363FD" w:rsidP="006D3D7D">
            <w:pPr>
              <w:rPr>
                <w:rFonts w:ascii="Calibri" w:hAnsi="Calibri" w:cstheme="majorHAnsi"/>
              </w:rPr>
            </w:pPr>
          </w:p>
        </w:tc>
        <w:tc>
          <w:tcPr>
            <w:tcW w:w="1350" w:type="dxa"/>
            <w:shd w:val="clear" w:color="auto" w:fill="auto"/>
          </w:tcPr>
          <w:p w:rsidR="00F363FD" w:rsidRPr="006D3D7D" w:rsidRDefault="00F363FD" w:rsidP="006D3D7D">
            <w:pPr>
              <w:rPr>
                <w:rFonts w:ascii="Calibri" w:hAnsi="Calibri" w:cstheme="majorHAnsi"/>
              </w:rPr>
            </w:pPr>
          </w:p>
        </w:tc>
        <w:tc>
          <w:tcPr>
            <w:tcW w:w="1260" w:type="dxa"/>
            <w:shd w:val="clear" w:color="auto" w:fill="auto"/>
          </w:tcPr>
          <w:p w:rsidR="00F363FD" w:rsidRPr="006D3D7D" w:rsidRDefault="00F363FD" w:rsidP="006D3D7D">
            <w:pPr>
              <w:rPr>
                <w:rFonts w:ascii="Calibri" w:hAnsi="Calibri" w:cstheme="majorHAnsi"/>
              </w:rPr>
            </w:pPr>
          </w:p>
        </w:tc>
      </w:tr>
      <w:tr w:rsidR="00F363FD" w:rsidRPr="006D3D7D" w:rsidTr="00F363FD">
        <w:tc>
          <w:tcPr>
            <w:tcW w:w="6228" w:type="dxa"/>
          </w:tcPr>
          <w:p w:rsidR="00F363FD" w:rsidRPr="006D3D7D" w:rsidRDefault="00F363FD" w:rsidP="006D3D7D">
            <w:pPr>
              <w:rPr>
                <w:rFonts w:ascii="Calibri" w:hAnsi="Calibri" w:cstheme="majorHAnsi"/>
              </w:rPr>
            </w:pPr>
            <w:r>
              <w:rPr>
                <w:rFonts w:ascii="Calibri" w:hAnsi="Calibri" w:cstheme="majorHAnsi"/>
              </w:rPr>
              <w:t>Lead quality improvement efforts focused on improving behavioral health care in the practice</w:t>
            </w:r>
          </w:p>
        </w:tc>
        <w:tc>
          <w:tcPr>
            <w:tcW w:w="1620" w:type="dxa"/>
            <w:shd w:val="clear" w:color="auto" w:fill="auto"/>
          </w:tcPr>
          <w:p w:rsidR="00F363FD" w:rsidRPr="006D3D7D" w:rsidRDefault="00F363FD" w:rsidP="006D3D7D">
            <w:pPr>
              <w:rPr>
                <w:rFonts w:ascii="Calibri" w:hAnsi="Calibri" w:cstheme="majorHAnsi"/>
              </w:rPr>
            </w:pPr>
          </w:p>
        </w:tc>
        <w:tc>
          <w:tcPr>
            <w:tcW w:w="1350" w:type="dxa"/>
            <w:shd w:val="clear" w:color="auto" w:fill="auto"/>
          </w:tcPr>
          <w:p w:rsidR="00F363FD" w:rsidRPr="006D3D7D" w:rsidRDefault="00F363FD" w:rsidP="006D3D7D">
            <w:pPr>
              <w:rPr>
                <w:rFonts w:ascii="Calibri" w:hAnsi="Calibri" w:cstheme="majorHAnsi"/>
              </w:rPr>
            </w:pPr>
          </w:p>
        </w:tc>
        <w:tc>
          <w:tcPr>
            <w:tcW w:w="1260" w:type="dxa"/>
            <w:shd w:val="clear" w:color="auto" w:fill="auto"/>
          </w:tcPr>
          <w:p w:rsidR="00F363FD" w:rsidRPr="006D3D7D" w:rsidRDefault="00F363FD" w:rsidP="006D3D7D">
            <w:pPr>
              <w:rPr>
                <w:rFonts w:ascii="Calibri" w:hAnsi="Calibri" w:cstheme="majorHAnsi"/>
              </w:rPr>
            </w:pPr>
          </w:p>
        </w:tc>
      </w:tr>
      <w:tr w:rsidR="00F363FD" w:rsidRPr="006D3D7D" w:rsidTr="00F363FD">
        <w:tc>
          <w:tcPr>
            <w:tcW w:w="6228" w:type="dxa"/>
          </w:tcPr>
          <w:p w:rsidR="00F363FD" w:rsidRPr="006D3D7D" w:rsidRDefault="00CF13DE" w:rsidP="006D3D7D">
            <w:pPr>
              <w:rPr>
                <w:rFonts w:ascii="Calibri" w:hAnsi="Calibri" w:cstheme="majorHAnsi"/>
              </w:rPr>
            </w:pPr>
            <w:r>
              <w:rPr>
                <w:rFonts w:ascii="Calibri" w:hAnsi="Calibri" w:cstheme="majorHAnsi"/>
              </w:rPr>
              <w:t>Participate in complex care management by providing counseling to patients</w:t>
            </w:r>
          </w:p>
        </w:tc>
        <w:tc>
          <w:tcPr>
            <w:tcW w:w="1620" w:type="dxa"/>
            <w:shd w:val="clear" w:color="auto" w:fill="auto"/>
          </w:tcPr>
          <w:p w:rsidR="00F363FD" w:rsidRPr="006D3D7D" w:rsidRDefault="00F363FD" w:rsidP="006D3D7D">
            <w:pPr>
              <w:rPr>
                <w:rFonts w:ascii="Calibri" w:hAnsi="Calibri" w:cstheme="majorHAnsi"/>
              </w:rPr>
            </w:pPr>
          </w:p>
        </w:tc>
        <w:tc>
          <w:tcPr>
            <w:tcW w:w="1350" w:type="dxa"/>
            <w:shd w:val="clear" w:color="auto" w:fill="auto"/>
          </w:tcPr>
          <w:p w:rsidR="00F363FD" w:rsidRPr="006D3D7D" w:rsidRDefault="00F363FD" w:rsidP="006D3D7D">
            <w:pPr>
              <w:rPr>
                <w:rFonts w:ascii="Calibri" w:hAnsi="Calibri" w:cstheme="majorHAnsi"/>
              </w:rPr>
            </w:pPr>
          </w:p>
        </w:tc>
        <w:tc>
          <w:tcPr>
            <w:tcW w:w="1260" w:type="dxa"/>
            <w:shd w:val="clear" w:color="auto" w:fill="auto"/>
          </w:tcPr>
          <w:p w:rsidR="00F363FD" w:rsidRPr="006D3D7D" w:rsidRDefault="00F363FD" w:rsidP="006D3D7D">
            <w:pPr>
              <w:rPr>
                <w:rFonts w:ascii="Calibri" w:hAnsi="Calibri" w:cstheme="majorHAnsi"/>
              </w:rPr>
            </w:pPr>
          </w:p>
        </w:tc>
      </w:tr>
      <w:tr w:rsidR="006C6BC6" w:rsidRPr="006D3D7D" w:rsidTr="00F363FD">
        <w:tc>
          <w:tcPr>
            <w:tcW w:w="6228" w:type="dxa"/>
          </w:tcPr>
          <w:p w:rsidR="006C6BC6" w:rsidRDefault="006C6BC6" w:rsidP="006C6BC6">
            <w:pPr>
              <w:rPr>
                <w:rFonts w:ascii="Calibri" w:hAnsi="Calibri" w:cstheme="majorHAnsi"/>
              </w:rPr>
            </w:pPr>
            <w:r w:rsidRPr="006C6BC6">
              <w:rPr>
                <w:rFonts w:ascii="Calibri" w:hAnsi="Calibri" w:cstheme="majorHAnsi"/>
              </w:rPr>
              <w:t xml:space="preserve">Participate in complex care management by </w:t>
            </w:r>
            <w:r>
              <w:rPr>
                <w:rFonts w:ascii="Calibri" w:hAnsi="Calibri" w:cstheme="majorHAnsi"/>
              </w:rPr>
              <w:t>leading team huddles or case conferences focused on the most challenging patients</w:t>
            </w:r>
          </w:p>
        </w:tc>
        <w:tc>
          <w:tcPr>
            <w:tcW w:w="1620" w:type="dxa"/>
            <w:shd w:val="clear" w:color="auto" w:fill="auto"/>
          </w:tcPr>
          <w:p w:rsidR="006C6BC6" w:rsidRPr="006D3D7D" w:rsidRDefault="006C6BC6" w:rsidP="006D3D7D">
            <w:pPr>
              <w:rPr>
                <w:rFonts w:ascii="Calibri" w:hAnsi="Calibri" w:cstheme="majorHAnsi"/>
              </w:rPr>
            </w:pPr>
          </w:p>
        </w:tc>
        <w:tc>
          <w:tcPr>
            <w:tcW w:w="1350" w:type="dxa"/>
            <w:shd w:val="clear" w:color="auto" w:fill="auto"/>
          </w:tcPr>
          <w:p w:rsidR="006C6BC6" w:rsidRPr="006D3D7D" w:rsidRDefault="006C6BC6" w:rsidP="006D3D7D">
            <w:pPr>
              <w:rPr>
                <w:rFonts w:ascii="Calibri" w:hAnsi="Calibri" w:cstheme="majorHAnsi"/>
              </w:rPr>
            </w:pPr>
          </w:p>
        </w:tc>
        <w:tc>
          <w:tcPr>
            <w:tcW w:w="1260" w:type="dxa"/>
            <w:shd w:val="clear" w:color="auto" w:fill="auto"/>
          </w:tcPr>
          <w:p w:rsidR="006C6BC6" w:rsidRPr="006D3D7D" w:rsidRDefault="006C6BC6" w:rsidP="006D3D7D">
            <w:pPr>
              <w:rPr>
                <w:rFonts w:ascii="Calibri" w:hAnsi="Calibri" w:cstheme="majorHAnsi"/>
              </w:rPr>
            </w:pPr>
          </w:p>
        </w:tc>
      </w:tr>
      <w:tr w:rsidR="00F363FD" w:rsidRPr="006D3D7D" w:rsidTr="00F363FD">
        <w:tc>
          <w:tcPr>
            <w:tcW w:w="6228" w:type="dxa"/>
          </w:tcPr>
          <w:p w:rsidR="00F363FD" w:rsidRPr="006D3D7D" w:rsidRDefault="00CF13DE" w:rsidP="00CF13DE">
            <w:pPr>
              <w:rPr>
                <w:rFonts w:ascii="Calibri" w:hAnsi="Calibri" w:cstheme="majorHAnsi"/>
              </w:rPr>
            </w:pPr>
            <w:r>
              <w:rPr>
                <w:rFonts w:ascii="Calibri" w:hAnsi="Calibri" w:cstheme="majorHAnsi"/>
              </w:rPr>
              <w:t>Consult with the providers and care team members about care for patients with co-occurring physical and mental health conditions</w:t>
            </w:r>
          </w:p>
        </w:tc>
        <w:tc>
          <w:tcPr>
            <w:tcW w:w="1620" w:type="dxa"/>
            <w:shd w:val="clear" w:color="auto" w:fill="auto"/>
          </w:tcPr>
          <w:p w:rsidR="00F363FD" w:rsidRPr="006D3D7D" w:rsidRDefault="00F363FD" w:rsidP="006D3D7D">
            <w:pPr>
              <w:rPr>
                <w:rFonts w:ascii="Calibri" w:hAnsi="Calibri" w:cstheme="majorHAnsi"/>
              </w:rPr>
            </w:pPr>
          </w:p>
        </w:tc>
        <w:tc>
          <w:tcPr>
            <w:tcW w:w="1350" w:type="dxa"/>
            <w:shd w:val="clear" w:color="auto" w:fill="auto"/>
          </w:tcPr>
          <w:p w:rsidR="00F363FD" w:rsidRPr="006D3D7D" w:rsidRDefault="00F363FD" w:rsidP="006D3D7D">
            <w:pPr>
              <w:rPr>
                <w:rFonts w:ascii="Calibri" w:hAnsi="Calibri" w:cstheme="majorHAnsi"/>
              </w:rPr>
            </w:pPr>
          </w:p>
        </w:tc>
        <w:tc>
          <w:tcPr>
            <w:tcW w:w="1260" w:type="dxa"/>
            <w:shd w:val="clear" w:color="auto" w:fill="auto"/>
          </w:tcPr>
          <w:p w:rsidR="00F363FD" w:rsidRPr="006D3D7D" w:rsidRDefault="00F363FD" w:rsidP="006D3D7D">
            <w:pPr>
              <w:rPr>
                <w:rFonts w:ascii="Calibri" w:hAnsi="Calibri" w:cstheme="majorHAnsi"/>
              </w:rPr>
            </w:pPr>
          </w:p>
        </w:tc>
      </w:tr>
      <w:tr w:rsidR="00F363FD" w:rsidRPr="006D3D7D" w:rsidTr="00F363FD">
        <w:tc>
          <w:tcPr>
            <w:tcW w:w="6228" w:type="dxa"/>
          </w:tcPr>
          <w:p w:rsidR="00F363FD" w:rsidRPr="006D3D7D" w:rsidRDefault="00CF13DE" w:rsidP="006D3D7D">
            <w:pPr>
              <w:rPr>
                <w:rFonts w:ascii="Calibri" w:hAnsi="Calibri" w:cstheme="majorHAnsi"/>
              </w:rPr>
            </w:pPr>
            <w:r w:rsidRPr="00CF13DE">
              <w:rPr>
                <w:rFonts w:ascii="Calibri" w:hAnsi="Calibri" w:cstheme="majorHAnsi"/>
              </w:rPr>
              <w:t xml:space="preserve">Outreach to patients with chronic mental health concerns (e.g., depression) </w:t>
            </w:r>
            <w:r w:rsidR="00331465">
              <w:rPr>
                <w:rFonts w:ascii="Calibri" w:hAnsi="Calibri" w:cstheme="majorHAnsi"/>
              </w:rPr>
              <w:t xml:space="preserve">using </w:t>
            </w:r>
            <w:bookmarkStart w:id="0" w:name="_GoBack"/>
            <w:bookmarkEnd w:id="0"/>
            <w:r w:rsidRPr="00CF13DE">
              <w:rPr>
                <w:rFonts w:ascii="Calibri" w:hAnsi="Calibri" w:cstheme="majorHAnsi"/>
              </w:rPr>
              <w:t>exception reports or registries in order to conduct population management/outreach</w:t>
            </w:r>
          </w:p>
        </w:tc>
        <w:tc>
          <w:tcPr>
            <w:tcW w:w="1620" w:type="dxa"/>
            <w:shd w:val="clear" w:color="auto" w:fill="auto"/>
          </w:tcPr>
          <w:p w:rsidR="00F363FD" w:rsidRPr="006D3D7D" w:rsidRDefault="00F363FD" w:rsidP="006D3D7D">
            <w:pPr>
              <w:rPr>
                <w:rFonts w:ascii="Calibri" w:hAnsi="Calibri" w:cstheme="majorHAnsi"/>
              </w:rPr>
            </w:pPr>
          </w:p>
        </w:tc>
        <w:tc>
          <w:tcPr>
            <w:tcW w:w="1350" w:type="dxa"/>
            <w:shd w:val="clear" w:color="auto" w:fill="auto"/>
          </w:tcPr>
          <w:p w:rsidR="00F363FD" w:rsidRPr="006D3D7D" w:rsidRDefault="00F363FD" w:rsidP="006D3D7D">
            <w:pPr>
              <w:rPr>
                <w:rFonts w:ascii="Calibri" w:hAnsi="Calibri" w:cstheme="majorHAnsi"/>
              </w:rPr>
            </w:pPr>
          </w:p>
        </w:tc>
        <w:tc>
          <w:tcPr>
            <w:tcW w:w="1260" w:type="dxa"/>
            <w:shd w:val="clear" w:color="auto" w:fill="auto"/>
          </w:tcPr>
          <w:p w:rsidR="00F363FD" w:rsidRPr="006D3D7D" w:rsidRDefault="00F363FD" w:rsidP="006D3D7D">
            <w:pPr>
              <w:rPr>
                <w:rFonts w:ascii="Calibri" w:hAnsi="Calibri" w:cstheme="majorHAnsi"/>
              </w:rPr>
            </w:pPr>
          </w:p>
        </w:tc>
      </w:tr>
      <w:tr w:rsidR="00F363FD" w:rsidRPr="006D3D7D" w:rsidTr="00F363FD">
        <w:tc>
          <w:tcPr>
            <w:tcW w:w="6228" w:type="dxa"/>
            <w:tcBorders>
              <w:bottom w:val="single" w:sz="4" w:space="0" w:color="auto"/>
            </w:tcBorders>
          </w:tcPr>
          <w:p w:rsidR="00F363FD" w:rsidRPr="006D3D7D" w:rsidRDefault="00CF13DE" w:rsidP="006D3D7D">
            <w:pPr>
              <w:rPr>
                <w:rFonts w:ascii="Calibri" w:hAnsi="Calibri" w:cstheme="majorHAnsi"/>
              </w:rPr>
            </w:pPr>
            <w:r w:rsidRPr="00CF13DE">
              <w:rPr>
                <w:rFonts w:ascii="Calibri" w:hAnsi="Calibri" w:cstheme="majorHAnsi"/>
              </w:rPr>
              <w:t xml:space="preserve">Consult </w:t>
            </w:r>
            <w:r>
              <w:rPr>
                <w:rFonts w:ascii="Calibri" w:hAnsi="Calibri" w:cstheme="majorHAnsi"/>
              </w:rPr>
              <w:t xml:space="preserve">with </w:t>
            </w:r>
            <w:r w:rsidRPr="00CF13DE">
              <w:rPr>
                <w:rFonts w:ascii="Calibri" w:hAnsi="Calibri" w:cstheme="majorHAnsi"/>
              </w:rPr>
              <w:t xml:space="preserve">providers and clinical staff on </w:t>
            </w:r>
            <w:r>
              <w:rPr>
                <w:rFonts w:ascii="Calibri" w:hAnsi="Calibri" w:cstheme="majorHAnsi"/>
              </w:rPr>
              <w:t xml:space="preserve">psychotropic </w:t>
            </w:r>
            <w:r w:rsidRPr="00CF13DE">
              <w:rPr>
                <w:rFonts w:ascii="Calibri" w:hAnsi="Calibri" w:cstheme="majorHAnsi"/>
              </w:rPr>
              <w:t>medication use and dosing</w:t>
            </w:r>
          </w:p>
        </w:tc>
        <w:tc>
          <w:tcPr>
            <w:tcW w:w="1620" w:type="dxa"/>
            <w:tcBorders>
              <w:bottom w:val="single" w:sz="4" w:space="0" w:color="auto"/>
            </w:tcBorders>
            <w:shd w:val="clear" w:color="auto" w:fill="auto"/>
          </w:tcPr>
          <w:p w:rsidR="00F363FD" w:rsidRPr="006D3D7D" w:rsidRDefault="00F363FD" w:rsidP="006D3D7D">
            <w:pPr>
              <w:rPr>
                <w:rFonts w:ascii="Calibri" w:hAnsi="Calibri" w:cstheme="majorHAnsi"/>
              </w:rPr>
            </w:pPr>
          </w:p>
        </w:tc>
        <w:tc>
          <w:tcPr>
            <w:tcW w:w="1350" w:type="dxa"/>
            <w:tcBorders>
              <w:bottom w:val="single" w:sz="4" w:space="0" w:color="auto"/>
            </w:tcBorders>
            <w:shd w:val="clear" w:color="auto" w:fill="auto"/>
          </w:tcPr>
          <w:p w:rsidR="00F363FD" w:rsidRPr="006D3D7D" w:rsidRDefault="00F363FD" w:rsidP="006D3D7D">
            <w:pPr>
              <w:rPr>
                <w:rFonts w:ascii="Calibri" w:hAnsi="Calibri" w:cstheme="majorHAnsi"/>
              </w:rPr>
            </w:pPr>
          </w:p>
        </w:tc>
        <w:tc>
          <w:tcPr>
            <w:tcW w:w="1260" w:type="dxa"/>
            <w:tcBorders>
              <w:bottom w:val="single" w:sz="4" w:space="0" w:color="auto"/>
            </w:tcBorders>
            <w:shd w:val="clear" w:color="auto" w:fill="auto"/>
          </w:tcPr>
          <w:p w:rsidR="00F363FD" w:rsidRPr="006D3D7D" w:rsidRDefault="00F363FD" w:rsidP="006D3D7D">
            <w:pPr>
              <w:rPr>
                <w:rFonts w:ascii="Calibri" w:hAnsi="Calibri" w:cstheme="majorHAnsi"/>
              </w:rPr>
            </w:pPr>
          </w:p>
        </w:tc>
      </w:tr>
      <w:tr w:rsidR="00CF13DE" w:rsidRPr="006D3D7D" w:rsidTr="00F363FD">
        <w:tc>
          <w:tcPr>
            <w:tcW w:w="6228" w:type="dxa"/>
          </w:tcPr>
          <w:p w:rsidR="00CF13DE" w:rsidRPr="00C92609" w:rsidRDefault="00CF13DE" w:rsidP="003D438B">
            <w:pPr>
              <w:rPr>
                <w:rFonts w:ascii="Calibri" w:hAnsi="Calibri"/>
              </w:rPr>
            </w:pPr>
            <w:r w:rsidRPr="00C92609">
              <w:rPr>
                <w:rFonts w:ascii="Calibri" w:hAnsi="Calibri"/>
              </w:rPr>
              <w:t>Provide brief or short-term counseling for patients coping with an episodic behavioral health concern</w:t>
            </w:r>
          </w:p>
        </w:tc>
        <w:tc>
          <w:tcPr>
            <w:tcW w:w="1620" w:type="dxa"/>
            <w:shd w:val="clear" w:color="auto" w:fill="auto"/>
          </w:tcPr>
          <w:p w:rsidR="00CF13DE" w:rsidRPr="006D3D7D" w:rsidRDefault="00CF13DE" w:rsidP="006D3D7D">
            <w:pPr>
              <w:rPr>
                <w:rFonts w:ascii="Calibri" w:hAnsi="Calibri" w:cstheme="majorHAnsi"/>
              </w:rPr>
            </w:pPr>
          </w:p>
        </w:tc>
        <w:tc>
          <w:tcPr>
            <w:tcW w:w="1350" w:type="dxa"/>
            <w:shd w:val="clear" w:color="auto" w:fill="auto"/>
          </w:tcPr>
          <w:p w:rsidR="00CF13DE" w:rsidRPr="006D3D7D" w:rsidRDefault="00CF13DE" w:rsidP="006D3D7D">
            <w:pPr>
              <w:rPr>
                <w:rFonts w:ascii="Calibri" w:hAnsi="Calibri" w:cstheme="majorHAnsi"/>
              </w:rPr>
            </w:pPr>
          </w:p>
        </w:tc>
        <w:tc>
          <w:tcPr>
            <w:tcW w:w="1260" w:type="dxa"/>
            <w:shd w:val="clear" w:color="auto" w:fill="auto"/>
          </w:tcPr>
          <w:p w:rsidR="00CF13DE" w:rsidRPr="006D3D7D" w:rsidRDefault="00CF13DE" w:rsidP="006D3D7D">
            <w:pPr>
              <w:rPr>
                <w:rFonts w:ascii="Calibri" w:hAnsi="Calibri" w:cstheme="majorHAnsi"/>
              </w:rPr>
            </w:pPr>
          </w:p>
        </w:tc>
      </w:tr>
      <w:tr w:rsidR="00CF13DE" w:rsidRPr="006D3D7D" w:rsidTr="00F363FD">
        <w:tc>
          <w:tcPr>
            <w:tcW w:w="6228" w:type="dxa"/>
          </w:tcPr>
          <w:p w:rsidR="00CF13DE" w:rsidRPr="00C92609" w:rsidRDefault="00CF13DE" w:rsidP="003D438B">
            <w:pPr>
              <w:rPr>
                <w:rFonts w:ascii="Calibri" w:hAnsi="Calibri"/>
              </w:rPr>
            </w:pPr>
            <w:r w:rsidRPr="00C92609">
              <w:rPr>
                <w:rFonts w:ascii="Calibri" w:hAnsi="Calibri"/>
              </w:rPr>
              <w:t>Consult with providers on evidence-based treatment for depression, anxiety, or bi-polar disorders</w:t>
            </w:r>
          </w:p>
        </w:tc>
        <w:tc>
          <w:tcPr>
            <w:tcW w:w="1620" w:type="dxa"/>
            <w:shd w:val="clear" w:color="auto" w:fill="auto"/>
          </w:tcPr>
          <w:p w:rsidR="00CF13DE" w:rsidRPr="006D3D7D" w:rsidRDefault="00CF13DE" w:rsidP="006D3D7D">
            <w:pPr>
              <w:rPr>
                <w:rFonts w:ascii="Calibri" w:hAnsi="Calibri" w:cstheme="majorHAnsi"/>
              </w:rPr>
            </w:pPr>
          </w:p>
        </w:tc>
        <w:tc>
          <w:tcPr>
            <w:tcW w:w="1350" w:type="dxa"/>
            <w:shd w:val="clear" w:color="auto" w:fill="auto"/>
          </w:tcPr>
          <w:p w:rsidR="00CF13DE" w:rsidRPr="006D3D7D" w:rsidRDefault="00CF13DE" w:rsidP="006D3D7D">
            <w:pPr>
              <w:rPr>
                <w:rFonts w:ascii="Calibri" w:hAnsi="Calibri" w:cstheme="majorHAnsi"/>
              </w:rPr>
            </w:pPr>
          </w:p>
        </w:tc>
        <w:tc>
          <w:tcPr>
            <w:tcW w:w="1260" w:type="dxa"/>
            <w:shd w:val="clear" w:color="auto" w:fill="auto"/>
          </w:tcPr>
          <w:p w:rsidR="00CF13DE" w:rsidRPr="006D3D7D" w:rsidRDefault="00CF13DE" w:rsidP="006D3D7D">
            <w:pPr>
              <w:rPr>
                <w:rFonts w:ascii="Calibri" w:hAnsi="Calibri" w:cstheme="majorHAnsi"/>
              </w:rPr>
            </w:pPr>
          </w:p>
        </w:tc>
      </w:tr>
      <w:tr w:rsidR="00CF13DE" w:rsidRPr="006D3D7D" w:rsidTr="00F363FD">
        <w:tc>
          <w:tcPr>
            <w:tcW w:w="6228" w:type="dxa"/>
          </w:tcPr>
          <w:p w:rsidR="00CF13DE" w:rsidRPr="006D3D7D" w:rsidRDefault="00CF13DE" w:rsidP="006D3D7D">
            <w:pPr>
              <w:rPr>
                <w:rFonts w:ascii="Calibri" w:hAnsi="Calibri" w:cstheme="majorHAnsi"/>
              </w:rPr>
            </w:pPr>
          </w:p>
        </w:tc>
        <w:tc>
          <w:tcPr>
            <w:tcW w:w="1620" w:type="dxa"/>
            <w:shd w:val="clear" w:color="auto" w:fill="auto"/>
          </w:tcPr>
          <w:p w:rsidR="00CF13DE" w:rsidRPr="006D3D7D" w:rsidRDefault="00CF13DE" w:rsidP="006D3D7D">
            <w:pPr>
              <w:rPr>
                <w:rFonts w:ascii="Calibri" w:hAnsi="Calibri" w:cstheme="majorHAnsi"/>
              </w:rPr>
            </w:pPr>
          </w:p>
        </w:tc>
        <w:tc>
          <w:tcPr>
            <w:tcW w:w="1350" w:type="dxa"/>
            <w:shd w:val="clear" w:color="auto" w:fill="auto"/>
          </w:tcPr>
          <w:p w:rsidR="00CF13DE" w:rsidRPr="006D3D7D" w:rsidRDefault="00CF13DE" w:rsidP="006D3D7D">
            <w:pPr>
              <w:rPr>
                <w:rFonts w:ascii="Calibri" w:hAnsi="Calibri" w:cstheme="majorHAnsi"/>
              </w:rPr>
            </w:pPr>
          </w:p>
        </w:tc>
        <w:tc>
          <w:tcPr>
            <w:tcW w:w="1260" w:type="dxa"/>
            <w:shd w:val="clear" w:color="auto" w:fill="auto"/>
          </w:tcPr>
          <w:p w:rsidR="00CF13DE" w:rsidRPr="006D3D7D" w:rsidRDefault="00CF13DE" w:rsidP="006D3D7D">
            <w:pPr>
              <w:rPr>
                <w:rFonts w:ascii="Calibri" w:hAnsi="Calibri" w:cstheme="majorHAnsi"/>
              </w:rPr>
            </w:pPr>
          </w:p>
        </w:tc>
      </w:tr>
      <w:tr w:rsidR="00CF13DE" w:rsidRPr="00C92609" w:rsidTr="00F363FD">
        <w:tc>
          <w:tcPr>
            <w:tcW w:w="6228" w:type="dxa"/>
          </w:tcPr>
          <w:p w:rsidR="00CF13DE" w:rsidRPr="00C92609" w:rsidRDefault="00CF13DE" w:rsidP="00871F46">
            <w:pPr>
              <w:rPr>
                <w:rFonts w:ascii="Calibri" w:hAnsi="Calibri"/>
              </w:rPr>
            </w:pPr>
          </w:p>
        </w:tc>
        <w:tc>
          <w:tcPr>
            <w:tcW w:w="1620" w:type="dxa"/>
            <w:shd w:val="clear" w:color="auto" w:fill="auto"/>
          </w:tcPr>
          <w:p w:rsidR="00CF13DE" w:rsidRPr="00C92609" w:rsidRDefault="00CF13DE" w:rsidP="00871F46">
            <w:pPr>
              <w:rPr>
                <w:rFonts w:ascii="Calibri" w:hAnsi="Calibri"/>
              </w:rPr>
            </w:pPr>
          </w:p>
        </w:tc>
        <w:tc>
          <w:tcPr>
            <w:tcW w:w="1350" w:type="dxa"/>
            <w:shd w:val="clear" w:color="auto" w:fill="auto"/>
          </w:tcPr>
          <w:p w:rsidR="00CF13DE" w:rsidRPr="00C92609" w:rsidRDefault="00CF13DE" w:rsidP="00871F46">
            <w:pPr>
              <w:rPr>
                <w:rFonts w:ascii="Calibri" w:hAnsi="Calibri"/>
              </w:rPr>
            </w:pPr>
          </w:p>
        </w:tc>
        <w:tc>
          <w:tcPr>
            <w:tcW w:w="1260" w:type="dxa"/>
            <w:shd w:val="clear" w:color="auto" w:fill="auto"/>
          </w:tcPr>
          <w:p w:rsidR="00CF13DE" w:rsidRPr="00C92609" w:rsidRDefault="00CF13DE" w:rsidP="00871F46">
            <w:pPr>
              <w:rPr>
                <w:rFonts w:ascii="Calibri" w:hAnsi="Calibri"/>
              </w:rPr>
            </w:pPr>
          </w:p>
        </w:tc>
      </w:tr>
      <w:tr w:rsidR="00CF13DE" w:rsidRPr="00C92609" w:rsidTr="00F363FD">
        <w:tc>
          <w:tcPr>
            <w:tcW w:w="6228" w:type="dxa"/>
          </w:tcPr>
          <w:p w:rsidR="00CF13DE" w:rsidRPr="00C92609" w:rsidRDefault="00CF13DE" w:rsidP="00B84D33">
            <w:pPr>
              <w:rPr>
                <w:rFonts w:ascii="Calibri" w:hAnsi="Calibri"/>
              </w:rPr>
            </w:pPr>
          </w:p>
        </w:tc>
        <w:tc>
          <w:tcPr>
            <w:tcW w:w="1620" w:type="dxa"/>
            <w:shd w:val="clear" w:color="auto" w:fill="auto"/>
          </w:tcPr>
          <w:p w:rsidR="00CF13DE" w:rsidRPr="00C92609" w:rsidRDefault="00CF13DE" w:rsidP="00B84D33">
            <w:pPr>
              <w:rPr>
                <w:rFonts w:ascii="Calibri" w:hAnsi="Calibri"/>
              </w:rPr>
            </w:pPr>
          </w:p>
        </w:tc>
        <w:tc>
          <w:tcPr>
            <w:tcW w:w="1350" w:type="dxa"/>
            <w:shd w:val="clear" w:color="auto" w:fill="auto"/>
          </w:tcPr>
          <w:p w:rsidR="00CF13DE" w:rsidRPr="00C92609" w:rsidRDefault="00CF13DE" w:rsidP="00B84D33">
            <w:pPr>
              <w:rPr>
                <w:rFonts w:ascii="Calibri" w:hAnsi="Calibri"/>
              </w:rPr>
            </w:pPr>
          </w:p>
        </w:tc>
        <w:tc>
          <w:tcPr>
            <w:tcW w:w="1260" w:type="dxa"/>
            <w:shd w:val="clear" w:color="auto" w:fill="auto"/>
          </w:tcPr>
          <w:p w:rsidR="00CF13DE" w:rsidRPr="00C92609" w:rsidRDefault="00CF13DE" w:rsidP="00B84D33">
            <w:pPr>
              <w:rPr>
                <w:rFonts w:ascii="Calibri" w:hAnsi="Calibri"/>
              </w:rPr>
            </w:pPr>
          </w:p>
        </w:tc>
      </w:tr>
      <w:tr w:rsidR="00CF13DE" w:rsidRPr="00C92609" w:rsidTr="00F363FD">
        <w:tc>
          <w:tcPr>
            <w:tcW w:w="6228" w:type="dxa"/>
          </w:tcPr>
          <w:p w:rsidR="00CF13DE" w:rsidRPr="00C92609" w:rsidRDefault="00CF13DE" w:rsidP="00B84D33">
            <w:pPr>
              <w:rPr>
                <w:rFonts w:ascii="Calibri" w:hAnsi="Calibri"/>
              </w:rPr>
            </w:pPr>
          </w:p>
        </w:tc>
        <w:tc>
          <w:tcPr>
            <w:tcW w:w="1620" w:type="dxa"/>
            <w:shd w:val="clear" w:color="auto" w:fill="auto"/>
          </w:tcPr>
          <w:p w:rsidR="00CF13DE" w:rsidRPr="00C92609" w:rsidRDefault="00CF13DE" w:rsidP="00B84D33">
            <w:pPr>
              <w:rPr>
                <w:rFonts w:ascii="Calibri" w:hAnsi="Calibri"/>
              </w:rPr>
            </w:pPr>
          </w:p>
        </w:tc>
        <w:tc>
          <w:tcPr>
            <w:tcW w:w="1350" w:type="dxa"/>
            <w:shd w:val="clear" w:color="auto" w:fill="auto"/>
          </w:tcPr>
          <w:p w:rsidR="00CF13DE" w:rsidRPr="00C92609" w:rsidRDefault="00CF13DE" w:rsidP="00B84D33">
            <w:pPr>
              <w:rPr>
                <w:rFonts w:ascii="Calibri" w:hAnsi="Calibri"/>
              </w:rPr>
            </w:pPr>
          </w:p>
        </w:tc>
        <w:tc>
          <w:tcPr>
            <w:tcW w:w="1260" w:type="dxa"/>
            <w:shd w:val="clear" w:color="auto" w:fill="auto"/>
          </w:tcPr>
          <w:p w:rsidR="00CF13DE" w:rsidRPr="00C92609" w:rsidRDefault="00CF13DE" w:rsidP="00B84D33">
            <w:pPr>
              <w:rPr>
                <w:rFonts w:ascii="Calibri" w:hAnsi="Calibri"/>
              </w:rPr>
            </w:pPr>
          </w:p>
        </w:tc>
      </w:tr>
    </w:tbl>
    <w:p w:rsidR="005F4FFE" w:rsidRDefault="005F4FFE" w:rsidP="005F4FFE"/>
    <w:sectPr w:rsidR="005F4FFE" w:rsidSect="00E468A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4985"/>
    <w:multiLevelType w:val="hybridMultilevel"/>
    <w:tmpl w:val="6434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F"/>
    <w:rsid w:val="000968B8"/>
    <w:rsid w:val="000D438A"/>
    <w:rsid w:val="00125716"/>
    <w:rsid w:val="001A4920"/>
    <w:rsid w:val="001B6963"/>
    <w:rsid w:val="001D1244"/>
    <w:rsid w:val="00256408"/>
    <w:rsid w:val="00315E74"/>
    <w:rsid w:val="00331465"/>
    <w:rsid w:val="00337C5F"/>
    <w:rsid w:val="00516FF3"/>
    <w:rsid w:val="00536C6E"/>
    <w:rsid w:val="00565969"/>
    <w:rsid w:val="005D5460"/>
    <w:rsid w:val="005F4FFE"/>
    <w:rsid w:val="00691628"/>
    <w:rsid w:val="006C6BC6"/>
    <w:rsid w:val="006D3D7D"/>
    <w:rsid w:val="00704383"/>
    <w:rsid w:val="00871F46"/>
    <w:rsid w:val="008879B9"/>
    <w:rsid w:val="008D51A4"/>
    <w:rsid w:val="00A17779"/>
    <w:rsid w:val="00AE70E6"/>
    <w:rsid w:val="00B1229A"/>
    <w:rsid w:val="00BE686D"/>
    <w:rsid w:val="00BF3F38"/>
    <w:rsid w:val="00C92609"/>
    <w:rsid w:val="00CA1EA4"/>
    <w:rsid w:val="00CF13DE"/>
    <w:rsid w:val="00D54A5B"/>
    <w:rsid w:val="00D905E3"/>
    <w:rsid w:val="00DC37C0"/>
    <w:rsid w:val="00DD35EC"/>
    <w:rsid w:val="00E15934"/>
    <w:rsid w:val="00E4351D"/>
    <w:rsid w:val="00E468A5"/>
    <w:rsid w:val="00E53717"/>
    <w:rsid w:val="00E96EBF"/>
    <w:rsid w:val="00EF34F4"/>
    <w:rsid w:val="00F02943"/>
    <w:rsid w:val="00F363FD"/>
    <w:rsid w:val="00FC5884"/>
    <w:rsid w:val="00FE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0E6"/>
    <w:rPr>
      <w:rFonts w:ascii="Tahoma" w:hAnsi="Tahoma" w:cs="Tahoma"/>
      <w:sz w:val="16"/>
      <w:szCs w:val="16"/>
    </w:rPr>
  </w:style>
  <w:style w:type="character" w:customStyle="1" w:styleId="BalloonTextChar">
    <w:name w:val="Balloon Text Char"/>
    <w:basedOn w:val="DefaultParagraphFont"/>
    <w:link w:val="BalloonText"/>
    <w:uiPriority w:val="99"/>
    <w:semiHidden/>
    <w:rsid w:val="00AE70E6"/>
    <w:rPr>
      <w:rFonts w:ascii="Tahoma" w:hAnsi="Tahoma" w:cs="Tahoma"/>
      <w:sz w:val="16"/>
      <w:szCs w:val="16"/>
    </w:rPr>
  </w:style>
  <w:style w:type="character" w:styleId="CommentReference">
    <w:name w:val="annotation reference"/>
    <w:basedOn w:val="DefaultParagraphFont"/>
    <w:uiPriority w:val="99"/>
    <w:semiHidden/>
    <w:unhideWhenUsed/>
    <w:rsid w:val="00CA1EA4"/>
    <w:rPr>
      <w:sz w:val="16"/>
      <w:szCs w:val="16"/>
    </w:rPr>
  </w:style>
  <w:style w:type="paragraph" w:styleId="CommentText">
    <w:name w:val="annotation text"/>
    <w:basedOn w:val="Normal"/>
    <w:link w:val="CommentTextChar"/>
    <w:uiPriority w:val="99"/>
    <w:semiHidden/>
    <w:unhideWhenUsed/>
    <w:rsid w:val="00CA1EA4"/>
    <w:rPr>
      <w:sz w:val="20"/>
      <w:szCs w:val="20"/>
    </w:rPr>
  </w:style>
  <w:style w:type="character" w:customStyle="1" w:styleId="CommentTextChar">
    <w:name w:val="Comment Text Char"/>
    <w:basedOn w:val="DefaultParagraphFont"/>
    <w:link w:val="CommentText"/>
    <w:uiPriority w:val="99"/>
    <w:semiHidden/>
    <w:rsid w:val="00CA1EA4"/>
    <w:rPr>
      <w:sz w:val="20"/>
      <w:szCs w:val="20"/>
    </w:rPr>
  </w:style>
  <w:style w:type="paragraph" w:styleId="CommentSubject">
    <w:name w:val="annotation subject"/>
    <w:basedOn w:val="CommentText"/>
    <w:next w:val="CommentText"/>
    <w:link w:val="CommentSubjectChar"/>
    <w:uiPriority w:val="99"/>
    <w:semiHidden/>
    <w:unhideWhenUsed/>
    <w:rsid w:val="00CA1EA4"/>
    <w:rPr>
      <w:b/>
      <w:bCs/>
    </w:rPr>
  </w:style>
  <w:style w:type="character" w:customStyle="1" w:styleId="CommentSubjectChar">
    <w:name w:val="Comment Subject Char"/>
    <w:basedOn w:val="CommentTextChar"/>
    <w:link w:val="CommentSubject"/>
    <w:uiPriority w:val="99"/>
    <w:semiHidden/>
    <w:rsid w:val="00CA1EA4"/>
    <w:rPr>
      <w:b/>
      <w:bCs/>
      <w:sz w:val="20"/>
      <w:szCs w:val="20"/>
    </w:rPr>
  </w:style>
  <w:style w:type="paragraph" w:styleId="ListParagraph">
    <w:name w:val="List Paragraph"/>
    <w:basedOn w:val="Normal"/>
    <w:uiPriority w:val="34"/>
    <w:qFormat/>
    <w:rsid w:val="006D3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3D2F-9B8C-47CA-AE82-3A658D50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Cromp</dc:creator>
  <cp:lastModifiedBy>DeAnn Cromp</cp:lastModifiedBy>
  <cp:revision>6</cp:revision>
  <cp:lastPrinted>2015-02-26T20:31:00Z</cp:lastPrinted>
  <dcterms:created xsi:type="dcterms:W3CDTF">2015-02-18T22:22:00Z</dcterms:created>
  <dcterms:modified xsi:type="dcterms:W3CDTF">2015-06-03T00:45:00Z</dcterms:modified>
</cp:coreProperties>
</file>